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A5" w:rsidRDefault="004420A5" w:rsidP="0034797F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4420A5" w:rsidRDefault="004420A5" w:rsidP="00BF4FA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420A5" w:rsidRDefault="004420A5" w:rsidP="00C072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Orientaciones para proponer tareas de escritura en las aulas universitarias</w:t>
      </w:r>
      <w:r w:rsidR="00BF4F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4420A5" w:rsidRDefault="004420A5" w:rsidP="003479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97F" w:rsidRDefault="004420A5" w:rsidP="003479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72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Objetivos:</w:t>
      </w:r>
    </w:p>
    <w:p w:rsidR="00C07297" w:rsidRPr="00C07297" w:rsidRDefault="00C07297" w:rsidP="003479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F4FAC" w:rsidRPr="00C07297" w:rsidRDefault="004420A5" w:rsidP="00C07297">
      <w:pPr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Brindar herramientas teóricas y metodológicas para diseñar, revisar y/o mejorar tareas de escritura en las propuestas de la</w:t>
      </w:r>
      <w:r w:rsidR="008E17D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cátedra</w:t>
      </w:r>
      <w:r w:rsidR="008E17D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97F" w:rsidRPr="00C07297" w:rsidRDefault="004420A5" w:rsidP="0034797F">
      <w:pPr>
        <w:numPr>
          <w:ilvl w:val="0"/>
          <w:numId w:val="1"/>
        </w:numPr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Elaborar dispositivos (consignas, trabajos prácticos, instructivos, entre otros) que reflejen las herramientas abordada</w:t>
      </w:r>
      <w:r w:rsidR="00BF4FAC">
        <w:rPr>
          <w:rFonts w:ascii="Times New Roman" w:eastAsia="Times New Roman" w:hAnsi="Times New Roman" w:cs="Times New Roman"/>
          <w:sz w:val="24"/>
          <w:szCs w:val="24"/>
        </w:rPr>
        <w:t>s en el taller para acompañar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F4FAC">
        <w:rPr>
          <w:rFonts w:ascii="Times New Roman" w:eastAsia="Times New Roman" w:hAnsi="Times New Roman" w:cs="Times New Roman"/>
          <w:sz w:val="24"/>
          <w:szCs w:val="24"/>
        </w:rPr>
        <w:t xml:space="preserve">tareas y los </w:t>
      </w:r>
      <w:r>
        <w:rPr>
          <w:rFonts w:ascii="Times New Roman" w:eastAsia="Times New Roman" w:hAnsi="Times New Roman" w:cs="Times New Roman"/>
          <w:sz w:val="24"/>
          <w:szCs w:val="24"/>
        </w:rPr>
        <w:t>procesos de escritura de los estudiantes.</w:t>
      </w:r>
    </w:p>
    <w:p w:rsidR="00C07297" w:rsidRPr="00C07297" w:rsidRDefault="00C07297" w:rsidP="00C072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2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Destinatarios: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 docentes de las diferentes unidades académicas de la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</w:rPr>
        <w:t>Unicen</w:t>
      </w:r>
      <w:proofErr w:type="spellEnd"/>
    </w:p>
    <w:p w:rsidR="00C07297" w:rsidRDefault="00C07297" w:rsidP="00C0729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07297" w:rsidRPr="00C07297" w:rsidRDefault="00C07297" w:rsidP="00C072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2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Cupo</w:t>
      </w:r>
      <w:r w:rsidRPr="00C0729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 limitado a 30 participantes</w:t>
      </w:r>
    </w:p>
    <w:p w:rsidR="00C07297" w:rsidRDefault="00C07297" w:rsidP="00C0729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07297" w:rsidRPr="00C07297" w:rsidRDefault="00C07297" w:rsidP="00C072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2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Modalidad: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  virtual</w:t>
      </w:r>
      <w:r w:rsidRPr="00C07297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. </w:t>
      </w:r>
    </w:p>
    <w:p w:rsidR="00855872" w:rsidRPr="00A76262" w:rsidRDefault="00855872" w:rsidP="0034797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872" w:rsidRPr="00A76262" w:rsidRDefault="00A76262" w:rsidP="003479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62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Fundamentación:</w:t>
      </w:r>
    </w:p>
    <w:p w:rsidR="0034797F" w:rsidRDefault="0034797F" w:rsidP="0034797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46904" w:rsidRDefault="00C46904" w:rsidP="00C46904">
      <w:pPr>
        <w:pStyle w:val="NormalWeb"/>
        <w:spacing w:before="240" w:beforeAutospacing="0" w:after="0" w:afterAutospacing="0" w:line="360" w:lineRule="auto"/>
        <w:jc w:val="both"/>
      </w:pPr>
      <w:r>
        <w:rPr>
          <w:color w:val="000000"/>
        </w:rPr>
        <w:t>Estudios sobre la alfabetización en edu</w:t>
      </w:r>
      <w:r>
        <w:rPr>
          <w:color w:val="000000"/>
        </w:rPr>
        <w:t>cación superior fundamentan que</w:t>
      </w:r>
      <w:r>
        <w:rPr>
          <w:color w:val="000000"/>
        </w:rPr>
        <w:t xml:space="preserve"> leer y escribir no es un asunto concluido y terminado en los otros niveles</w:t>
      </w:r>
      <w:r>
        <w:rPr>
          <w:color w:val="000000"/>
        </w:rPr>
        <w:t xml:space="preserve">. </w:t>
      </w:r>
      <w:r>
        <w:rPr>
          <w:color w:val="000000"/>
        </w:rPr>
        <w:t>Los investigadores entienden que la alfabetización es un proceso que continúa en diferentes ámbitos por la diversidad de temas, clases de textos, géneros discursivos, propósitos, destinatarios y reflexiones implicadas.</w:t>
      </w:r>
    </w:p>
    <w:p w:rsidR="00C46904" w:rsidRDefault="00C46904" w:rsidP="00C46904">
      <w:pPr>
        <w:pStyle w:val="NormalWeb"/>
        <w:spacing w:before="240" w:beforeAutospacing="0" w:after="0" w:afterAutospacing="0" w:line="360" w:lineRule="auto"/>
        <w:jc w:val="both"/>
      </w:pPr>
      <w:r>
        <w:rPr>
          <w:color w:val="000000"/>
        </w:rPr>
        <w:t>En los diversos contextos y situaciones en los que se lee y se escribe siempre se están pl</w:t>
      </w:r>
      <w:r>
        <w:rPr>
          <w:color w:val="000000"/>
        </w:rPr>
        <w:t>anteando nuevos desafíos y el contexto universitario no es la excepción.</w:t>
      </w:r>
      <w:r>
        <w:rPr>
          <w:color w:val="000000"/>
        </w:rPr>
        <w:t xml:space="preserve"> Es por ello que existen distintas culturas en torno de lo escrito y la cultura académica es una de ellas. (</w:t>
      </w:r>
      <w:proofErr w:type="spellStart"/>
      <w:r>
        <w:rPr>
          <w:color w:val="000000"/>
        </w:rPr>
        <w:t>Carlino</w:t>
      </w:r>
      <w:proofErr w:type="spellEnd"/>
      <w:r>
        <w:rPr>
          <w:color w:val="000000"/>
        </w:rPr>
        <w:t>, 2005). </w:t>
      </w:r>
    </w:p>
    <w:p w:rsidR="00C46904" w:rsidRDefault="00C46904" w:rsidP="00C46904">
      <w:pPr>
        <w:pStyle w:val="NormalWeb"/>
        <w:spacing w:before="240" w:beforeAutospacing="0" w:after="0" w:afterAutospacing="0" w:line="360" w:lineRule="auto"/>
        <w:jc w:val="both"/>
      </w:pPr>
      <w:r>
        <w:rPr>
          <w:color w:val="000000"/>
        </w:rPr>
        <w:lastRenderedPageBreak/>
        <w:t>La lectura y la escritura académica son complejas y muy específicas, y esto se traduce en las diferencias de las distintas disciplinas que construyen de manera diversa el saber; y en los usos que se exigen de éste configuran culturas particulares que se traslucen en ciertas maneras de leer y escribir. El problema con la cultura académica es que tampoco es homogénea. La especialización de cada campo de estudio ha llevado a que los esquemas de pensamiento, que adquieren forma a través de lo escrito, sean distintos de un dominio a otro. (</w:t>
      </w:r>
      <w:proofErr w:type="spellStart"/>
      <w:r>
        <w:rPr>
          <w:color w:val="000000"/>
        </w:rPr>
        <w:t>Carlino</w:t>
      </w:r>
      <w:proofErr w:type="spellEnd"/>
      <w:r>
        <w:rPr>
          <w:color w:val="000000"/>
        </w:rPr>
        <w:t>, 2005)</w:t>
      </w:r>
    </w:p>
    <w:p w:rsidR="00C46904" w:rsidRDefault="00C46904" w:rsidP="00C46904">
      <w:pPr>
        <w:pStyle w:val="NormalWeb"/>
        <w:spacing w:before="240" w:beforeAutospacing="0" w:after="0" w:afterAutospacing="0" w:line="360" w:lineRule="auto"/>
        <w:jc w:val="both"/>
      </w:pPr>
      <w:r>
        <w:rPr>
          <w:color w:val="000000"/>
        </w:rPr>
        <w:t>Por lo tanto, las prácticas de lectura, escritura y oralidad son diversas: planificar un informe de lectura, investigar, comparar y explicar fuentes, construir afirmaciones, construir una voz autoral, presentar oralmente un informe de lectura, escribir un informe de laboratorio, participar en un foro de un aula virtual,</w:t>
      </w:r>
      <w:r>
        <w:rPr>
          <w:color w:val="000000"/>
        </w:rPr>
        <w:t xml:space="preserve"> </w:t>
      </w:r>
      <w:r>
        <w:rPr>
          <w:color w:val="000000"/>
        </w:rPr>
        <w:t>explicar un tema por escrito u oralmente, realizar una exposición frente a un auditorio, entre otras.</w:t>
      </w:r>
    </w:p>
    <w:p w:rsidR="00855872" w:rsidRPr="00C46904" w:rsidRDefault="00C46904" w:rsidP="00C46904">
      <w:pPr>
        <w:pStyle w:val="NormalWeb"/>
        <w:spacing w:before="240" w:beforeAutospacing="0" w:after="0" w:afterAutospacing="0" w:line="360" w:lineRule="auto"/>
        <w:jc w:val="both"/>
      </w:pPr>
      <w:r>
        <w:rPr>
          <w:color w:val="000000"/>
        </w:rPr>
        <w:t>Sin embargo, no todos los textos que se escriben en la universidad comparten finalidades ni responden a las mismas situaciones académicas. De acuerdo a lo anterior, entendemos que la organización de los géneros que se escriben y se leen en la universidad deben dar cuenta de los diferentes sistemas de actividad que caracterizan la actividad de las diferentes comunidades que inte</w:t>
      </w:r>
      <w:r>
        <w:rPr>
          <w:color w:val="000000"/>
        </w:rPr>
        <w:t xml:space="preserve">gran el contexto universitario </w:t>
      </w:r>
      <w:r>
        <w:rPr>
          <w:color w:val="000000"/>
        </w:rPr>
        <w:t>(Camps - Castelló, 2013)</w:t>
      </w:r>
      <w:r>
        <w:rPr>
          <w:color w:val="000000"/>
        </w:rPr>
        <w:t>.</w:t>
      </w:r>
    </w:p>
    <w:p w:rsidR="00C46904" w:rsidRDefault="00C46904" w:rsidP="0034797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46904" w:rsidRDefault="00C46904" w:rsidP="0034797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4420A5" w:rsidRPr="00C07297" w:rsidRDefault="004420A5" w:rsidP="003479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72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Contenidos:</w:t>
      </w:r>
    </w:p>
    <w:p w:rsidR="0034797F" w:rsidRDefault="0034797F" w:rsidP="0034797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86562" w:rsidRDefault="00B86562" w:rsidP="0040509D">
      <w:pPr>
        <w:pStyle w:val="Prrafodelista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562">
        <w:rPr>
          <w:rFonts w:ascii="Times New Roman" w:eastAsia="Times New Roman" w:hAnsi="Times New Roman" w:cs="Times New Roman"/>
          <w:sz w:val="24"/>
          <w:szCs w:val="24"/>
        </w:rPr>
        <w:t>Leer y escribir en la universidad. Breve introducció</w:t>
      </w:r>
      <w:r w:rsidR="00855737">
        <w:rPr>
          <w:rFonts w:ascii="Times New Roman" w:eastAsia="Times New Roman" w:hAnsi="Times New Roman" w:cs="Times New Roman"/>
          <w:sz w:val="24"/>
          <w:szCs w:val="24"/>
        </w:rPr>
        <w:t>n a la alfabetización académica y a la alfabetización avanzada.</w:t>
      </w:r>
      <w:r w:rsidRPr="00B86562">
        <w:rPr>
          <w:rFonts w:ascii="Times New Roman" w:eastAsia="Times New Roman" w:hAnsi="Times New Roman" w:cs="Times New Roman"/>
          <w:sz w:val="24"/>
          <w:szCs w:val="24"/>
        </w:rPr>
        <w:t xml:space="preserve"> Las prácticas de lectura y escritura de los géneros de la formación, los académicos y los profesionales.</w:t>
      </w:r>
    </w:p>
    <w:p w:rsidR="00BF4FAC" w:rsidRPr="00B86562" w:rsidRDefault="004420A5" w:rsidP="0040509D">
      <w:pPr>
        <w:pStyle w:val="Prrafodelista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562">
        <w:rPr>
          <w:rFonts w:ascii="Times New Roman" w:eastAsia="Times New Roman" w:hAnsi="Times New Roman" w:cs="Times New Roman"/>
          <w:sz w:val="24"/>
          <w:szCs w:val="24"/>
        </w:rPr>
        <w:t xml:space="preserve">La escritura como herramienta, como proceso cognitivo y como actividad social. </w:t>
      </w:r>
    </w:p>
    <w:p w:rsidR="00BF4FAC" w:rsidRDefault="004420A5" w:rsidP="00B8656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AC">
        <w:rPr>
          <w:rFonts w:ascii="Times New Roman" w:eastAsia="Times New Roman" w:hAnsi="Times New Roman" w:cs="Times New Roman"/>
          <w:sz w:val="24"/>
          <w:szCs w:val="24"/>
        </w:rPr>
        <w:t xml:space="preserve">La escritura desde su dimensión didáctica: herramientas teóricas y metodológicas para abordarla y/o </w:t>
      </w:r>
      <w:proofErr w:type="spellStart"/>
      <w:r w:rsidRPr="00BF4FAC">
        <w:rPr>
          <w:rFonts w:ascii="Times New Roman" w:eastAsia="Times New Roman" w:hAnsi="Times New Roman" w:cs="Times New Roman"/>
          <w:sz w:val="24"/>
          <w:szCs w:val="24"/>
        </w:rPr>
        <w:t>andamiarla</w:t>
      </w:r>
      <w:proofErr w:type="spellEnd"/>
      <w:r w:rsidRPr="00BF4F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237" w:rsidRDefault="00BF4FAC" w:rsidP="00B8656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F4FAC">
        <w:rPr>
          <w:rFonts w:ascii="Times New Roman" w:eastAsia="Times New Roman" w:hAnsi="Times New Roman" w:cs="Times New Roman"/>
          <w:sz w:val="24"/>
          <w:szCs w:val="24"/>
        </w:rPr>
        <w:t>a pertinenci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de las tareas de escritura y sus propósitos en la universidad. </w:t>
      </w:r>
      <w:r w:rsidRPr="00BF4FAC">
        <w:rPr>
          <w:rFonts w:ascii="Times New Roman" w:eastAsia="Times New Roman" w:hAnsi="Times New Roman" w:cs="Times New Roman"/>
          <w:sz w:val="24"/>
          <w:szCs w:val="24"/>
        </w:rPr>
        <w:t xml:space="preserve">Diseño de una tarea </w:t>
      </w:r>
      <w:r w:rsidR="00672237">
        <w:rPr>
          <w:rFonts w:ascii="Times New Roman" w:eastAsia="Times New Roman" w:hAnsi="Times New Roman" w:cs="Times New Roman"/>
          <w:sz w:val="24"/>
          <w:szCs w:val="24"/>
        </w:rPr>
        <w:t>de escritura.</w:t>
      </w:r>
    </w:p>
    <w:p w:rsidR="00BF4FAC" w:rsidRDefault="00BF4FAC" w:rsidP="00B8656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 importancia del género en </w:t>
      </w:r>
      <w:r w:rsidR="00672237">
        <w:rPr>
          <w:rFonts w:ascii="Times New Roman" w:eastAsia="Times New Roman" w:hAnsi="Times New Roman" w:cs="Times New Roman"/>
          <w:sz w:val="24"/>
          <w:szCs w:val="24"/>
        </w:rPr>
        <w:t>la enseñanza de la escritura.</w:t>
      </w:r>
    </w:p>
    <w:p w:rsidR="00672237" w:rsidRPr="00672237" w:rsidRDefault="00672237" w:rsidP="00B8656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propu</w:t>
      </w:r>
      <w:r w:rsidR="007F3FB6">
        <w:rPr>
          <w:rFonts w:ascii="Times New Roman" w:eastAsia="Times New Roman" w:hAnsi="Times New Roman" w:cs="Times New Roman"/>
          <w:sz w:val="24"/>
          <w:szCs w:val="24"/>
        </w:rPr>
        <w:t>estas de escritura en las aulas: dispositivos de intervención.</w:t>
      </w:r>
    </w:p>
    <w:p w:rsidR="004420A5" w:rsidRDefault="004420A5" w:rsidP="003479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0A5" w:rsidRPr="00C07297" w:rsidRDefault="004420A5" w:rsidP="003479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72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Cronograma:</w:t>
      </w:r>
    </w:p>
    <w:p w:rsidR="0034797F" w:rsidRDefault="0034797F" w:rsidP="0034797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DB67F2" w:rsidTr="0019722E">
        <w:tc>
          <w:tcPr>
            <w:tcW w:w="4247" w:type="dxa"/>
            <w:shd w:val="clear" w:color="auto" w:fill="D5DCE4" w:themeFill="text2" w:themeFillTint="33"/>
          </w:tcPr>
          <w:p w:rsidR="00DB67F2" w:rsidRPr="0019722E" w:rsidRDefault="0034797F" w:rsidP="001972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Semana</w:t>
            </w:r>
          </w:p>
        </w:tc>
        <w:tc>
          <w:tcPr>
            <w:tcW w:w="4248" w:type="dxa"/>
            <w:shd w:val="clear" w:color="auto" w:fill="D5DCE4" w:themeFill="text2" w:themeFillTint="33"/>
          </w:tcPr>
          <w:p w:rsidR="00DB67F2" w:rsidRPr="0019722E" w:rsidRDefault="0034797F" w:rsidP="001972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</w:t>
            </w:r>
          </w:p>
        </w:tc>
      </w:tr>
      <w:tr w:rsidR="00DB67F2" w:rsidTr="00DB67F2">
        <w:tc>
          <w:tcPr>
            <w:tcW w:w="4247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Semana del 3 de octubre </w:t>
            </w:r>
          </w:p>
        </w:tc>
        <w:tc>
          <w:tcPr>
            <w:tcW w:w="4248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en el aula virtual</w:t>
            </w:r>
          </w:p>
        </w:tc>
      </w:tr>
      <w:tr w:rsidR="00DB67F2" w:rsidTr="00DB67F2">
        <w:tc>
          <w:tcPr>
            <w:tcW w:w="4247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 del 10 de octubre</w:t>
            </w:r>
          </w:p>
        </w:tc>
        <w:tc>
          <w:tcPr>
            <w:tcW w:w="4248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Encuentro sincrónico: martes 11/10  de 15 a 16.30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DB67F2" w:rsidTr="00DB67F2">
        <w:tc>
          <w:tcPr>
            <w:tcW w:w="4247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 del 17 de octubre</w:t>
            </w:r>
          </w:p>
        </w:tc>
        <w:tc>
          <w:tcPr>
            <w:tcW w:w="4248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en el aula virtual</w:t>
            </w:r>
          </w:p>
        </w:tc>
      </w:tr>
      <w:tr w:rsidR="00DB67F2" w:rsidTr="00DB67F2">
        <w:tc>
          <w:tcPr>
            <w:tcW w:w="4247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 del 24 de octubre</w:t>
            </w:r>
          </w:p>
        </w:tc>
        <w:tc>
          <w:tcPr>
            <w:tcW w:w="4248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Encuentro sincrónico: martes 18/10  de 15 a 16.30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DB67F2" w:rsidTr="00DB67F2">
        <w:tc>
          <w:tcPr>
            <w:tcW w:w="4247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 del 31 de octubre</w:t>
            </w:r>
          </w:p>
        </w:tc>
        <w:tc>
          <w:tcPr>
            <w:tcW w:w="4248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en el aula virtual</w:t>
            </w:r>
          </w:p>
        </w:tc>
      </w:tr>
      <w:tr w:rsidR="00DB67F2" w:rsidTr="00DB67F2">
        <w:tc>
          <w:tcPr>
            <w:tcW w:w="4247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 del 7 de noviembre</w:t>
            </w:r>
          </w:p>
        </w:tc>
        <w:tc>
          <w:tcPr>
            <w:tcW w:w="4248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Encuentro sincrónico: martes 8/11 de 15 a 16.30</w:t>
            </w:r>
          </w:p>
        </w:tc>
      </w:tr>
      <w:tr w:rsidR="00DB67F2" w:rsidTr="00DB67F2">
        <w:tc>
          <w:tcPr>
            <w:tcW w:w="4247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 del 14 de noviembre</w:t>
            </w:r>
          </w:p>
        </w:tc>
        <w:tc>
          <w:tcPr>
            <w:tcW w:w="4248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en el aula virtual</w:t>
            </w:r>
          </w:p>
        </w:tc>
      </w:tr>
      <w:tr w:rsidR="00DB67F2" w:rsidTr="00DB67F2">
        <w:tc>
          <w:tcPr>
            <w:tcW w:w="4247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 del 21 de noviembre</w:t>
            </w:r>
          </w:p>
        </w:tc>
        <w:tc>
          <w:tcPr>
            <w:tcW w:w="4248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Encuentro sincrónico: martes 22/11 de 15 a 16.30</w:t>
            </w:r>
          </w:p>
        </w:tc>
      </w:tr>
      <w:tr w:rsidR="00DB67F2" w:rsidTr="00DB67F2">
        <w:tc>
          <w:tcPr>
            <w:tcW w:w="4247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Semana del 28 de noviembre</w:t>
            </w:r>
          </w:p>
        </w:tc>
        <w:tc>
          <w:tcPr>
            <w:tcW w:w="4248" w:type="dxa"/>
          </w:tcPr>
          <w:p w:rsidR="00DB67F2" w:rsidRDefault="00DB67F2" w:rsidP="0034797F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en el aula virtual: cierre</w:t>
            </w:r>
            <w:r w:rsidR="003479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20A5" w:rsidRDefault="004420A5" w:rsidP="003479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0A5" w:rsidRPr="007F3FB6" w:rsidRDefault="004420A5" w:rsidP="0034797F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3F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Acreditación:</w:t>
      </w:r>
    </w:p>
    <w:p w:rsidR="004420A5" w:rsidRDefault="004420A5" w:rsidP="003479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El Departamento de Lenguas extenderá la </w:t>
      </w:r>
      <w:r w:rsidR="007F3FB6">
        <w:rPr>
          <w:rFonts w:ascii="Times New Roman" w:eastAsia="Times New Roman" w:hAnsi="Times New Roman" w:cs="Times New Roman"/>
          <w:sz w:val="24"/>
          <w:szCs w:val="24"/>
        </w:rPr>
        <w:t>correspondiente C</w:t>
      </w:r>
      <w:r>
        <w:rPr>
          <w:rFonts w:ascii="Times New Roman" w:eastAsia="Times New Roman" w:hAnsi="Times New Roman" w:cs="Times New Roman"/>
          <w:sz w:val="24"/>
          <w:szCs w:val="24"/>
        </w:rPr>
        <w:t>ertificación. Los requisitos para acreditar el curso serán: asistir a los encuentros virtuales sincrónicos (75% de asistencia) y cumplir en tiempo y forma con las tareas propuestas</w:t>
      </w:r>
      <w:r w:rsidR="00855872">
        <w:rPr>
          <w:rFonts w:ascii="Times New Roman" w:eastAsia="Times New Roman" w:hAnsi="Times New Roman" w:cs="Times New Roman"/>
          <w:sz w:val="24"/>
          <w:szCs w:val="24"/>
        </w:rPr>
        <w:t xml:space="preserve"> en el aula virtual</w:t>
      </w:r>
      <w:r w:rsidR="007F3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872" w:rsidRDefault="00855872" w:rsidP="0085587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5872" w:rsidRPr="007F3FB6" w:rsidRDefault="00855872" w:rsidP="00855872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3F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Evaluación:</w:t>
      </w:r>
    </w:p>
    <w:p w:rsidR="00855872" w:rsidRDefault="00DB0C8D" w:rsidP="003479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curso-</w:t>
      </w:r>
      <w:r w:rsidR="00855872">
        <w:rPr>
          <w:rFonts w:ascii="Times New Roman" w:eastAsia="Times New Roman" w:hAnsi="Times New Roman" w:cs="Times New Roman"/>
          <w:sz w:val="24"/>
          <w:szCs w:val="24"/>
        </w:rPr>
        <w:t>taller de actualización, constar</w:t>
      </w:r>
      <w:r w:rsidR="007F3FB6">
        <w:rPr>
          <w:rFonts w:ascii="Times New Roman" w:eastAsia="Times New Roman" w:hAnsi="Times New Roman" w:cs="Times New Roman"/>
          <w:sz w:val="24"/>
          <w:szCs w:val="24"/>
        </w:rPr>
        <w:t>á con</w:t>
      </w:r>
      <w:r w:rsidR="00855872">
        <w:rPr>
          <w:rFonts w:ascii="Times New Roman" w:eastAsia="Times New Roman" w:hAnsi="Times New Roman" w:cs="Times New Roman"/>
          <w:sz w:val="24"/>
          <w:szCs w:val="24"/>
        </w:rPr>
        <w:t xml:space="preserve"> una evaluación final. Dicha evaluaci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ón consistirá en la elaboración de dispositivos (consignas, trabajos prácticos, instructivos, entre otros) que reflejen las herramientas abordadas en el taller para acompañar las tareas y los procesos de escritura de los estudiantes. </w:t>
      </w:r>
    </w:p>
    <w:p w:rsidR="007F3FB6" w:rsidRDefault="007F3FB6" w:rsidP="007F3FB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3FB6" w:rsidRDefault="007F3FB6" w:rsidP="007F3FB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F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Cantidad de horas: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 horas.</w:t>
      </w:r>
    </w:p>
    <w:p w:rsidR="00855872" w:rsidRDefault="00855872" w:rsidP="003479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0A5" w:rsidRDefault="004420A5" w:rsidP="003479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0A5" w:rsidRDefault="004420A5" w:rsidP="003479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2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Preinscripción</w:t>
      </w:r>
      <w:r w:rsidR="00C072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Completar el formulario</w:t>
      </w:r>
    </w:p>
    <w:p w:rsidR="004420A5" w:rsidRDefault="004420A5" w:rsidP="0034797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0A5" w:rsidRDefault="004420A5" w:rsidP="003479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0A5" w:rsidRDefault="004420A5" w:rsidP="003479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0A5" w:rsidRPr="007F3FB6" w:rsidRDefault="004420A5" w:rsidP="0034797F">
      <w:pPr>
        <w:jc w:val="both"/>
        <w:rPr>
          <w:rFonts w:ascii="Times New Roman" w:eastAsia="Times New Roman" w:hAnsi="Times New Roman" w:cs="Times New Roman"/>
          <w:b/>
          <w:u w:val="single"/>
        </w:rPr>
      </w:pPr>
      <w:r w:rsidRPr="007F3FB6">
        <w:rPr>
          <w:rFonts w:ascii="Times New Roman" w:eastAsia="Times New Roman" w:hAnsi="Times New Roman" w:cs="Times New Roman"/>
          <w:b/>
          <w:u w:val="single"/>
        </w:rPr>
        <w:t>Bibliografía:</w:t>
      </w:r>
    </w:p>
    <w:p w:rsidR="004420A5" w:rsidRDefault="004420A5" w:rsidP="0034797F">
      <w:pPr>
        <w:jc w:val="both"/>
      </w:pPr>
    </w:p>
    <w:p w:rsidR="004420A5" w:rsidRPr="00C07297" w:rsidRDefault="004420A5" w:rsidP="007F3FB6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Amieva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, R. y Vázquez, A. (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Coord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(2017) Leer y escribir en las disciplinas: diseños de intervenciones didácticas en las aulas universitarias. Río Cuarto: 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UniRío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Editora, Universidad Nacional de Río Cuarto, Argentina. </w:t>
      </w:r>
      <w:hyperlink r:id="rId7">
        <w:r w:rsidRPr="00C07297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8">
        <w:r w:rsidRPr="00C07297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http://www.unirioeditora.com.ar/wp-content/uploads/2018/08/978-987-688-203-3.pdf</w:t>
        </w:r>
      </w:hyperlink>
    </w:p>
    <w:p w:rsidR="004420A5" w:rsidRPr="00C07297" w:rsidRDefault="004420A5" w:rsidP="007F3FB6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Bazerman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, Ch. [et al.] (2016). Escribir a través del Currículum: una guía de referencia. (Navarro, F. Ed.). Córdoba: Universidad Nacional de Córdoba,</w:t>
      </w:r>
      <w:hyperlink r:id="rId9">
        <w:r w:rsidRPr="00C07297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0">
        <w:r w:rsidRPr="00C07297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https://rdu.unc.edu.ar/handle/11086/4030</w:t>
        </w:r>
      </w:hyperlink>
    </w:p>
    <w:p w:rsidR="004420A5" w:rsidRPr="00C07297" w:rsidRDefault="004420A5" w:rsidP="007F3FB6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Bereiter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C. y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Scardamalia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, M. (1982) Dos modelos explicativos de los procesos de composición escrita. Infancia y aprendizaje 15 (58): 43-64.</w:t>
      </w:r>
    </w:p>
    <w:p w:rsidR="004420A5" w:rsidRPr="00C07297" w:rsidRDefault="004420A5" w:rsidP="007F3FB6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Carlino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, P. (2005) Escribir, leer y aprender en la universidad: una introducción a la alfabetización académica. Argentina: Editorial Fondo de Cultura Económica.</w:t>
      </w:r>
    </w:p>
    <w:p w:rsidR="004420A5" w:rsidRPr="00C07297" w:rsidRDefault="004420A5" w:rsidP="007F3FB6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Cassany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, D. (2005) Los significados de la comprensión crítica. Lectura y Vida. http://www.lecturayvida.fahce.unlp.edu.ar/numeros/a26n3/26_03_Cassany.pdf</w:t>
      </w:r>
    </w:p>
    <w:p w:rsidR="007F3FB6" w:rsidRPr="00C07297" w:rsidRDefault="004420A5" w:rsidP="007F3FB6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Castelló, M.(coord.) (2007) Escribir y comunicarse en contextos científicos y académicos. Conocimientos y estrategias. Barcelona: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Graó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7F3FB6" w:rsidRPr="00C07297" w:rsidRDefault="007F3FB6" w:rsidP="007F3FB6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Montserrat Castelló (2007) (coord.) "El proceso de composición de textos académicos". 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Escribir y comunicarse en contextos científicos y académicos</w:t>
      </w:r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Graó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. Barcelona.</w:t>
      </w:r>
    </w:p>
    <w:p w:rsidR="007F3FB6" w:rsidRPr="00C07297" w:rsidRDefault="004420A5" w:rsidP="007F3FB6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</w:rPr>
        <w:t>Natale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, L. (Coord.) (2012). 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 xml:space="preserve">En carrera: escritura y lectura de textos académicos y profesionales. 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>Los Polvorines: UNGS.</w:t>
      </w:r>
    </w:p>
    <w:p w:rsidR="00C07297" w:rsidRPr="00C07297" w:rsidRDefault="004420A5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</w:rPr>
        <w:t>Natale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, L. (Ed.) (2013). 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>El semillero de la escritura. Las tareas escritas a lo largo de tres carreras de la UNGS.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 Los Polvorines: UNGS.</w:t>
      </w:r>
    </w:p>
    <w:p w:rsidR="00C07297" w:rsidRPr="00C07297" w:rsidRDefault="004420A5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Navarro, F. &amp; Mari, L. (Eds.) (2018).  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 xml:space="preserve">Manual de lectura, escritura y oralidad en economía y administración. 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>Bernal: Universidad Nacional de Quilmes.</w:t>
      </w:r>
    </w:p>
    <w:p w:rsidR="00C07297" w:rsidRPr="00C07297" w:rsidRDefault="00C07297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Navarro, F (2018) Más allá de la alfabetización académica: las funciones de la escritura en la educación superior. En M. A. Alves &amp; V.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Iensen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Bortoluzzi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(Eds.)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Formação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Professores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Ensino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linguagens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tecnologias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(pp.13-49). Publisher: Editora Fi.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Editors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M. A. Alves, Valeria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Iensen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Bortoluzzi</w:t>
      </w:r>
      <w:proofErr w:type="spellEnd"/>
    </w:p>
    <w:p w:rsidR="00C07297" w:rsidRPr="00C07297" w:rsidRDefault="00C07297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Navarro, F. (2020). Leer y escribir en entornos académicos: cinco acciones para docentes inclusivos. En Especialización en Lectura, Escritura y Educación. Buenos Aires, </w:t>
      </w:r>
      <w:proofErr w:type="spellStart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Flacso</w:t>
      </w:r>
      <w:proofErr w:type="spellEnd"/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Virtual- Argentina</w:t>
      </w:r>
    </w:p>
    <w:p w:rsidR="00C07297" w:rsidRPr="00C07297" w:rsidRDefault="004420A5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</w:rPr>
        <w:t>Navarro, F. (2022) (Ed.)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>. Escritura e inclusión en la universidad. Herramientas para docentes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>.  Santiago de Chile: Universidad Nacional de Chile.</w:t>
      </w:r>
    </w:p>
    <w:p w:rsidR="00C07297" w:rsidRPr="00C07297" w:rsidRDefault="004420A5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</w:rPr>
        <w:t>Parodi, G. (1999) R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>elaciones entre lectura y escritura. Una perspectiva cognitiva discursiva. Bases teóricas y antecedentes empíricos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>. Valparaíso: Ediciones universitarias de Valparaíso de la Universidad Católica de Valparaíso.</w:t>
      </w:r>
    </w:p>
    <w:p w:rsidR="00C07297" w:rsidRPr="00C07297" w:rsidRDefault="004420A5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Parodi, G. (2008). 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>Géneros académicos y géneros profesionales: accesos discursivos para saber y hacer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>. Valparaíso: Ediciones Universitarias de Valparaíso.</w:t>
      </w:r>
    </w:p>
    <w:p w:rsidR="00C07297" w:rsidRPr="00C07297" w:rsidRDefault="004420A5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Riestra, D (2009).  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>Prácticas de lectura y escritura.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 - 1a ed. - Buenos </w:t>
      </w:r>
      <w:proofErr w:type="gramStart"/>
      <w:r w:rsidRPr="00C07297">
        <w:rPr>
          <w:rFonts w:ascii="Times New Roman" w:eastAsia="Times New Roman" w:hAnsi="Times New Roman" w:cs="Times New Roman"/>
          <w:sz w:val="24"/>
          <w:szCs w:val="24"/>
        </w:rPr>
        <w:t>Aires :</w:t>
      </w:r>
      <w:proofErr w:type="gramEnd"/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 Libros del Zorzal/Universidad Nacional de Río Negro.</w:t>
      </w:r>
    </w:p>
    <w:p w:rsidR="00C07297" w:rsidRPr="00C07297" w:rsidRDefault="004420A5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Riestra, D. (2014). 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 xml:space="preserve">Usos y formas de la lengua escrita. </w:t>
      </w:r>
      <w:proofErr w:type="spellStart"/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>Reenseñar</w:t>
      </w:r>
      <w:proofErr w:type="spellEnd"/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 xml:space="preserve"> la escritura a los jóvenes. Un puente entre el secundario y la universidad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>. Buenos Aires: Ediciones Novedades Educativas.</w:t>
      </w:r>
    </w:p>
    <w:p w:rsidR="00C07297" w:rsidRPr="00C07297" w:rsidRDefault="004420A5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</w:rPr>
        <w:t>Serafini, M. T. (2003)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 xml:space="preserve"> Cómo se estudia,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 Argentina: Paidós.</w:t>
      </w:r>
    </w:p>
    <w:p w:rsidR="00C07297" w:rsidRPr="00C07297" w:rsidRDefault="004420A5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Vázquez, A; Jakob, I (2007) La escritura y el aprendizaje en el aula universitaria: componentes cognitivos y didácticos. 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</w:rPr>
        <w:t>Innovación Educativa</w:t>
      </w:r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, vol. 7, núm. </w:t>
      </w:r>
      <w:proofErr w:type="gramStart"/>
      <w:r w:rsidRPr="00C07297">
        <w:rPr>
          <w:rFonts w:ascii="Times New Roman" w:eastAsia="Times New Roman" w:hAnsi="Times New Roman" w:cs="Times New Roman"/>
          <w:sz w:val="24"/>
          <w:szCs w:val="24"/>
        </w:rPr>
        <w:t>36,  pp.</w:t>
      </w:r>
      <w:proofErr w:type="gramEnd"/>
      <w:r w:rsidRPr="00C07297">
        <w:rPr>
          <w:rFonts w:ascii="Times New Roman" w:eastAsia="Times New Roman" w:hAnsi="Times New Roman" w:cs="Times New Roman"/>
          <w:sz w:val="24"/>
          <w:szCs w:val="24"/>
        </w:rPr>
        <w:t xml:space="preserve"> 21-35 Instituto Politécnico Nacional, Distrito Federal, México</w:t>
      </w:r>
      <w:r w:rsidR="00C07297"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4420A5" w:rsidRPr="00C07297" w:rsidRDefault="004420A5" w:rsidP="00C07297">
      <w:pPr>
        <w:pStyle w:val="Prrafodelista"/>
        <w:numPr>
          <w:ilvl w:val="0"/>
          <w:numId w:val="5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7297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Zayas, F. (2012). Los géneros discursivos y la enseñanza de la composición escrita. 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Revista Iberoamericana De Educación</w:t>
      </w:r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C0729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59</w:t>
      </w:r>
      <w:r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>, 63-85.</w:t>
      </w:r>
      <w:hyperlink r:id="rId11">
        <w:r w:rsidRPr="00C07297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r w:rsidR="00C07297" w:rsidRPr="00C072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4420A5" w:rsidRDefault="004420A5" w:rsidP="0034797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highlight w:val="white"/>
        </w:rPr>
      </w:pPr>
    </w:p>
    <w:p w:rsidR="0053339D" w:rsidRDefault="0053339D" w:rsidP="0034797F">
      <w:pPr>
        <w:jc w:val="both"/>
      </w:pPr>
    </w:p>
    <w:sectPr w:rsidR="0053339D" w:rsidSect="00002491">
      <w:headerReference w:type="default" r:id="rId12"/>
      <w:footerReference w:type="defaul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84" w:rsidRDefault="00EA1384" w:rsidP="004420A5">
      <w:pPr>
        <w:spacing w:after="0" w:line="240" w:lineRule="auto"/>
      </w:pPr>
      <w:r>
        <w:separator/>
      </w:r>
    </w:p>
  </w:endnote>
  <w:endnote w:type="continuationSeparator" w:id="0">
    <w:p w:rsidR="00EA1384" w:rsidRDefault="00EA1384" w:rsidP="0044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D5" w:rsidRDefault="004420A5">
    <w:pPr>
      <w:pStyle w:val="Piedepgina"/>
    </w:pPr>
    <w:r>
      <w:rPr>
        <w:rFonts w:ascii="Arial Narrow" w:hAnsi="Arial Narrow" w:cs="Arial"/>
        <w:b/>
        <w:bCs/>
        <w:noProof/>
        <w:lang w:eastAsia="es-AR"/>
      </w:rPr>
      <w:drawing>
        <wp:inline distT="0" distB="0" distL="0" distR="0">
          <wp:extent cx="575310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84" w:rsidRDefault="00EA1384" w:rsidP="004420A5">
      <w:pPr>
        <w:spacing w:after="0" w:line="240" w:lineRule="auto"/>
      </w:pPr>
      <w:r>
        <w:separator/>
      </w:r>
    </w:p>
  </w:footnote>
  <w:footnote w:type="continuationSeparator" w:id="0">
    <w:p w:rsidR="00EA1384" w:rsidRDefault="00EA1384" w:rsidP="0044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CD" w:rsidRPr="00A54A62" w:rsidRDefault="004420A5" w:rsidP="00A54A62">
    <w:pPr>
      <w:pStyle w:val="Encabezado"/>
      <w:spacing w:after="0" w:line="240" w:lineRule="atLeast"/>
      <w:jc w:val="right"/>
    </w:pPr>
    <w:r w:rsidRPr="008925D5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6884035</wp:posOffset>
              </wp:positionH>
              <wp:positionV relativeFrom="page">
                <wp:posOffset>6817360</wp:posOffset>
              </wp:positionV>
              <wp:extent cx="686435" cy="2183130"/>
              <wp:effectExtent l="0" t="0" r="1270" b="63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5D5" w:rsidRPr="008925D5" w:rsidRDefault="002527B3">
                          <w:pPr>
                            <w:pStyle w:val="Piedep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8925D5">
                            <w:rPr>
                              <w:rFonts w:ascii="Cambria" w:hAnsi="Cambria"/>
                            </w:rPr>
                            <w:t>Página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46904" w:rsidRPr="00C4690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left:0;text-align:left;margin-left:542.05pt;margin-top:536.8pt;width:54.0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" o:allowincell="f" filled="f" stroked="f">
              <v:textbox style="layout-flow:vertical;mso-layout-flow-alt:bottom-to-top;mso-fit-shape-to-text:t">
                <w:txbxContent>
                  <w:p w:rsidR="008925D5" w:rsidRPr="008925D5" w:rsidRDefault="002527B3">
                    <w:pPr>
                      <w:pStyle w:val="Piedep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8925D5">
                      <w:rPr>
                        <w:rFonts w:ascii="Cambria" w:hAnsi="Cambria"/>
                      </w:rPr>
                      <w:t>Página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46904" w:rsidRPr="00C4690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A825CD">
      <w:rPr>
        <w:noProof/>
        <w:lang w:eastAsia="es-AR"/>
      </w:rPr>
      <w:drawing>
        <wp:inline distT="0" distB="0" distL="0" distR="0">
          <wp:extent cx="5829300" cy="723900"/>
          <wp:effectExtent l="0" t="0" r="0" b="0"/>
          <wp:docPr id="2" name="Imagen 2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27B3">
      <w:rPr>
        <w:rFonts w:ascii="Times New Roman" w:hAnsi="Times New Roman"/>
        <w:b/>
        <w:bCs/>
        <w:sz w:val="20"/>
        <w:szCs w:val="20"/>
        <w:lang w:val="es-ES" w:eastAsia="es-ES"/>
      </w:rPr>
      <w:t xml:space="preserve">Taller </w:t>
    </w:r>
    <w:r>
      <w:rPr>
        <w:rFonts w:ascii="Times New Roman" w:hAnsi="Times New Roman"/>
        <w:b/>
        <w:bCs/>
        <w:i/>
        <w:sz w:val="20"/>
        <w:szCs w:val="20"/>
        <w:lang w:val="es-ES" w:eastAsia="es-ES"/>
      </w:rPr>
      <w:t xml:space="preserve">Orientaciones </w:t>
    </w:r>
    <w:r w:rsidR="0005552E">
      <w:rPr>
        <w:rFonts w:ascii="Times New Roman" w:hAnsi="Times New Roman"/>
        <w:b/>
        <w:bCs/>
        <w:i/>
        <w:sz w:val="20"/>
        <w:szCs w:val="20"/>
        <w:lang w:val="es-ES" w:eastAsia="es-ES"/>
      </w:rPr>
      <w:t xml:space="preserve">para proponer tareas de escritura </w:t>
    </w:r>
    <w:r w:rsidR="002527B3" w:rsidRPr="00B26E5E">
      <w:rPr>
        <w:rFonts w:ascii="Times New Roman" w:hAnsi="Times New Roman"/>
        <w:b/>
        <w:bCs/>
        <w:i/>
        <w:sz w:val="20"/>
        <w:szCs w:val="20"/>
        <w:lang w:val="es-ES" w:eastAsia="es-ES"/>
      </w:rPr>
      <w:t>en las aulas universitarias</w:t>
    </w:r>
    <w:r w:rsidR="002527B3">
      <w:rPr>
        <w:rFonts w:ascii="Times New Roman" w:hAnsi="Times New Roman"/>
        <w:b/>
        <w:bCs/>
        <w:i/>
        <w:sz w:val="20"/>
        <w:szCs w:val="20"/>
        <w:lang w:val="es-ES" w:eastAsia="es-ES"/>
      </w:rPr>
      <w:t xml:space="preserve">       </w:t>
    </w:r>
  </w:p>
  <w:p w:rsidR="00B26E5E" w:rsidRDefault="0005552E" w:rsidP="00A54A62">
    <w:pPr>
      <w:spacing w:after="0" w:line="240" w:lineRule="atLeast"/>
      <w:jc w:val="right"/>
      <w:rPr>
        <w:rFonts w:ascii="Times New Roman" w:hAnsi="Times New Roman"/>
        <w:bCs/>
        <w:sz w:val="20"/>
        <w:szCs w:val="20"/>
        <w:lang w:val="es-ES" w:eastAsia="es-ES"/>
      </w:rPr>
    </w:pPr>
    <w:r>
      <w:rPr>
        <w:rFonts w:ascii="Times New Roman" w:hAnsi="Times New Roman"/>
        <w:bCs/>
        <w:sz w:val="20"/>
        <w:szCs w:val="20"/>
        <w:lang w:val="es-ES" w:eastAsia="es-ES"/>
      </w:rPr>
      <w:t>Área</w:t>
    </w:r>
    <w:r w:rsidR="0034797F">
      <w:rPr>
        <w:rFonts w:ascii="Times New Roman" w:hAnsi="Times New Roman"/>
        <w:bCs/>
        <w:sz w:val="20"/>
        <w:szCs w:val="20"/>
        <w:lang w:val="es-ES" w:eastAsia="es-ES"/>
      </w:rPr>
      <w:t xml:space="preserve"> LEO (</w:t>
    </w:r>
    <w:proofErr w:type="spellStart"/>
    <w:r w:rsidR="0034797F">
      <w:rPr>
        <w:rFonts w:ascii="Times New Roman" w:hAnsi="Times New Roman"/>
        <w:bCs/>
        <w:sz w:val="20"/>
        <w:szCs w:val="20"/>
        <w:lang w:val="es-ES" w:eastAsia="es-ES"/>
      </w:rPr>
      <w:t>Colello</w:t>
    </w:r>
    <w:proofErr w:type="spellEnd"/>
    <w:r w:rsidR="0034797F">
      <w:rPr>
        <w:rFonts w:ascii="Times New Roman" w:hAnsi="Times New Roman"/>
        <w:bCs/>
        <w:sz w:val="20"/>
        <w:szCs w:val="20"/>
        <w:lang w:val="es-ES" w:eastAsia="es-ES"/>
      </w:rPr>
      <w:t xml:space="preserve">, </w:t>
    </w:r>
    <w:proofErr w:type="spellStart"/>
    <w:r w:rsidR="0034797F">
      <w:rPr>
        <w:rFonts w:ascii="Times New Roman" w:hAnsi="Times New Roman"/>
        <w:bCs/>
        <w:sz w:val="20"/>
        <w:szCs w:val="20"/>
        <w:lang w:val="es-ES" w:eastAsia="es-ES"/>
      </w:rPr>
      <w:t>Isern</w:t>
    </w:r>
    <w:proofErr w:type="spellEnd"/>
    <w:r w:rsidR="0034797F">
      <w:rPr>
        <w:rFonts w:ascii="Times New Roman" w:hAnsi="Times New Roman"/>
        <w:bCs/>
        <w:sz w:val="20"/>
        <w:szCs w:val="20"/>
        <w:lang w:val="es-ES" w:eastAsia="es-ES"/>
      </w:rPr>
      <w:t xml:space="preserve">, </w:t>
    </w:r>
    <w:proofErr w:type="spellStart"/>
    <w:r w:rsidR="0034797F">
      <w:rPr>
        <w:rFonts w:ascii="Times New Roman" w:hAnsi="Times New Roman"/>
        <w:bCs/>
        <w:sz w:val="20"/>
        <w:szCs w:val="20"/>
        <w:lang w:val="es-ES" w:eastAsia="es-ES"/>
      </w:rPr>
      <w:t>Galbán</w:t>
    </w:r>
    <w:proofErr w:type="spellEnd"/>
    <w:r w:rsidR="002527B3">
      <w:rPr>
        <w:rFonts w:ascii="Times New Roman" w:hAnsi="Times New Roman"/>
        <w:bCs/>
        <w:sz w:val="20"/>
        <w:szCs w:val="20"/>
        <w:lang w:val="es-ES" w:eastAsia="es-ES"/>
      </w:rPr>
      <w:t>)</w:t>
    </w:r>
  </w:p>
  <w:p w:rsidR="00B26E5E" w:rsidRPr="00DC2524" w:rsidRDefault="0034797F" w:rsidP="00A54A62">
    <w:pPr>
      <w:spacing w:after="0" w:line="240" w:lineRule="atLeast"/>
      <w:jc w:val="right"/>
      <w:rPr>
        <w:rFonts w:ascii="Times New Roman" w:hAnsi="Times New Roman"/>
        <w:bCs/>
        <w:sz w:val="20"/>
        <w:szCs w:val="20"/>
        <w:lang w:val="es-ES" w:eastAsia="es-ES"/>
      </w:rPr>
    </w:pPr>
    <w:r>
      <w:rPr>
        <w:rFonts w:ascii="Times New Roman" w:hAnsi="Times New Roman"/>
        <w:bCs/>
        <w:sz w:val="20"/>
        <w:szCs w:val="20"/>
        <w:lang w:val="es-ES" w:eastAsia="es-ES"/>
      </w:rPr>
      <w:t>octubre-noviembre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2F93"/>
    <w:multiLevelType w:val="hybridMultilevel"/>
    <w:tmpl w:val="B8669F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58A8"/>
    <w:multiLevelType w:val="multilevel"/>
    <w:tmpl w:val="CA4EC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13456F"/>
    <w:multiLevelType w:val="multilevel"/>
    <w:tmpl w:val="D7BA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B09BB"/>
    <w:multiLevelType w:val="multilevel"/>
    <w:tmpl w:val="06A68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517860"/>
    <w:multiLevelType w:val="multilevel"/>
    <w:tmpl w:val="95D217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A5"/>
    <w:rsid w:val="0005552E"/>
    <w:rsid w:val="001051D3"/>
    <w:rsid w:val="0019722E"/>
    <w:rsid w:val="001F4277"/>
    <w:rsid w:val="002527B3"/>
    <w:rsid w:val="0034797F"/>
    <w:rsid w:val="004420A5"/>
    <w:rsid w:val="0053339D"/>
    <w:rsid w:val="00672237"/>
    <w:rsid w:val="007F3FB6"/>
    <w:rsid w:val="00855737"/>
    <w:rsid w:val="00855872"/>
    <w:rsid w:val="008E17D7"/>
    <w:rsid w:val="00A76262"/>
    <w:rsid w:val="00B86562"/>
    <w:rsid w:val="00BF4FAC"/>
    <w:rsid w:val="00C07297"/>
    <w:rsid w:val="00C46904"/>
    <w:rsid w:val="00DB0C8D"/>
    <w:rsid w:val="00DB67F2"/>
    <w:rsid w:val="00EA1384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8E669"/>
  <w15:chartTrackingRefBased/>
  <w15:docId w15:val="{55455328-F340-47DB-9494-5FD1DE19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0A5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420A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420A5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20A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4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B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ioeditora.com.ar/wp-content/uploads/2018/08/978-987-688-203-3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rioeditora.com.ar/wp-content/uploads/2018/08/978-987-688-203-3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5362/rie59045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du.unc.edu.ar/handle/11086/4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du.unc.edu.ar/handle/11086/403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1301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6</cp:revision>
  <dcterms:created xsi:type="dcterms:W3CDTF">2022-09-13T12:59:00Z</dcterms:created>
  <dcterms:modified xsi:type="dcterms:W3CDTF">2022-09-15T13:53:00Z</dcterms:modified>
</cp:coreProperties>
</file>